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A9" w:rsidRPr="00FC61A9" w:rsidRDefault="00175C95" w:rsidP="00175C95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258300"/>
            <wp:effectExtent l="19050" t="0" r="3175" b="0"/>
            <wp:docPr id="1" name="Рисунок 1" descr="C:\Users\Зам дир по ВР\Pictures\IMG_20210322_21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15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C61A9" w:rsidRPr="00FC61A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C61A9" w:rsidRPr="00FC61A9" w:rsidRDefault="00FC61A9" w:rsidP="00FC6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A9">
        <w:rPr>
          <w:rFonts w:ascii="Times New Roman" w:hAnsi="Times New Roman" w:cs="Times New Roman"/>
          <w:color w:val="060A12"/>
          <w:sz w:val="24"/>
          <w:szCs w:val="24"/>
        </w:rPr>
        <w:t xml:space="preserve">     Адаптированная рабочая программа разработана на основе: </w:t>
      </w:r>
      <w:r w:rsidRPr="00FC61A9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FC61A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C61A9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FC61A9">
        <w:rPr>
          <w:rFonts w:ascii="Times New Roman" w:hAnsi="Times New Roman" w:cs="Times New Roman"/>
          <w:sz w:val="24"/>
          <w:szCs w:val="24"/>
        </w:rPr>
        <w:t xml:space="preserve">и </w:t>
      </w:r>
      <w:r w:rsidRPr="00FC61A9">
        <w:rPr>
          <w:rFonts w:ascii="Times New Roman" w:hAnsi="Times New Roman" w:cs="Times New Roman"/>
          <w:color w:val="060A12"/>
          <w:sz w:val="24"/>
          <w:szCs w:val="24"/>
        </w:rPr>
        <w:t xml:space="preserve">программно-методического материала «Программа специальных (коррекционных) общеобразовательных учреждений» </w:t>
      </w:r>
      <w:r w:rsidRPr="00FC61A9">
        <w:rPr>
          <w:rFonts w:ascii="Times New Roman" w:hAnsi="Times New Roman" w:cs="Times New Roman"/>
          <w:sz w:val="24"/>
          <w:szCs w:val="24"/>
        </w:rPr>
        <w:t>под редакцией В.В</w:t>
      </w:r>
      <w:r w:rsidRPr="00FC61A9">
        <w:rPr>
          <w:rFonts w:ascii="Times New Roman" w:hAnsi="Times New Roman" w:cs="Times New Roman"/>
          <w:bCs/>
          <w:sz w:val="24"/>
          <w:szCs w:val="24"/>
        </w:rPr>
        <w:t>. Воронковой.</w:t>
      </w:r>
    </w:p>
    <w:p w:rsidR="00FC61A9" w:rsidRPr="00FC61A9" w:rsidRDefault="00FC61A9" w:rsidP="00FC61A9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1A9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- Федеральный закон Российской Федерации «Об образовании в Российской Федерации» </w:t>
      </w:r>
      <w:r w:rsidRPr="00FC61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1A9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FC61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1A9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FC61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1A9">
        <w:rPr>
          <w:rFonts w:ascii="Times New Roman" w:hAnsi="Times New Roman" w:cs="Times New Roman"/>
          <w:sz w:val="24"/>
          <w:szCs w:val="24"/>
        </w:rPr>
        <w:t xml:space="preserve"> 203-Ф3),                - Федеральный государственный образовательный стандарт образования обучающихся с </w:t>
      </w:r>
      <w:proofErr w:type="spellStart"/>
      <w:r w:rsidRPr="00FC61A9">
        <w:rPr>
          <w:rFonts w:ascii="Times New Roman" w:hAnsi="Times New Roman" w:cs="Times New Roman"/>
          <w:sz w:val="24"/>
          <w:szCs w:val="24"/>
        </w:rPr>
        <w:t>умственной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C61A9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FC61A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C61A9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C61A9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FC61A9">
        <w:rPr>
          <w:rFonts w:ascii="Times New Roman" w:hAnsi="Times New Roman" w:cs="Times New Roman"/>
          <w:sz w:val="24"/>
          <w:szCs w:val="24"/>
        </w:rPr>
        <w:t>)1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C61A9">
        <w:rPr>
          <w:rFonts w:ascii="Times New Roman" w:hAnsi="Times New Roman" w:cs="Times New Roman"/>
          <w:sz w:val="24"/>
          <w:szCs w:val="24"/>
        </w:rPr>
        <w:t>вариант;                         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             -</w:t>
      </w:r>
      <w:proofErr w:type="spellStart"/>
      <w:r w:rsidRPr="00FC61A9">
        <w:rPr>
          <w:rFonts w:ascii="Times New Roman" w:hAnsi="Times New Roman" w:cs="Times New Roman"/>
          <w:sz w:val="24"/>
          <w:szCs w:val="24"/>
        </w:rPr>
        <w:t>Устав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FC61A9">
        <w:rPr>
          <w:rFonts w:ascii="Times New Roman" w:hAnsi="Times New Roman" w:cs="Times New Roman"/>
          <w:sz w:val="24"/>
          <w:szCs w:val="24"/>
        </w:rPr>
        <w:t>МБОУ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spellEnd"/>
      <w:r w:rsidRPr="00FC61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61A9">
        <w:rPr>
          <w:rFonts w:ascii="Times New Roman" w:hAnsi="Times New Roman" w:cs="Times New Roman"/>
          <w:sz w:val="24"/>
          <w:szCs w:val="24"/>
        </w:rPr>
        <w:t>Новомарьясовская</w:t>
      </w:r>
      <w:r w:rsidRPr="00FC61A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FC61A9">
        <w:rPr>
          <w:rFonts w:ascii="Times New Roman" w:hAnsi="Times New Roman" w:cs="Times New Roman"/>
          <w:sz w:val="24"/>
          <w:szCs w:val="24"/>
        </w:rPr>
        <w:t>СОШ-И</w:t>
      </w:r>
      <w:proofErr w:type="spellEnd"/>
      <w:r w:rsidRPr="00FC61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существенного воздействия на интеллектуальную, эмоциональную и двигательную сферы;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личности ребёнка;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положительных навыков и привычек;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интерес к рисованию.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находить в изображаемом существенные признаки, устанавливать сходство и различие;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 содействовать развитию у учащихся аналитико-синтетической деятельности, умения сравнивать, обобщать;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ориентироваться в задании и планировать свою работу, намечать последовательность выполнения рисунка;</w:t>
      </w:r>
      <w:proofErr w:type="gram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дать учащимся знания элементарных основ реалистического рисунка, формировать навыки рисования с натуры, декоративного рисования;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 учащихся речь, художест</w:t>
      </w:r>
      <w:r w:rsid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 вкус, интерес и любовь к изобразительной деятельности.</w:t>
      </w:r>
    </w:p>
    <w:p w:rsidR="008A6474" w:rsidRPr="00FC61A9" w:rsidRDefault="008A6474" w:rsidP="00FC61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Коррекционные возможности предмета</w:t>
      </w:r>
    </w:p>
    <w:p w:rsidR="008A6474" w:rsidRPr="00FC61A9" w:rsidRDefault="008A6474" w:rsidP="00FC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Для решения этих задач программой предусмотрены четыре вида занятий: декоративное рисование, рисование с натуры, рисование на темы, беседы об искусстве.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учебного предмета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как школьный учебный пре</w:t>
      </w:r>
      <w:r w:rsidR="00CC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 имеет важное </w:t>
      </w:r>
      <w:proofErr w:type="spellStart"/>
      <w:r w:rsidR="00CC45B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="00CC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развивающее значение. Уроки изобразительного искусства при 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«Изобразительное искусство» создан с учетом личностного, </w:t>
      </w:r>
      <w:proofErr w:type="spell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дифференцированного, </w:t>
      </w:r>
      <w:proofErr w:type="spell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  <w:proofErr w:type="gramEnd"/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количество контрольных и проверочных работ.</w:t>
      </w:r>
    </w:p>
    <w:p w:rsidR="008A6474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отличительной особенностью данного курса с точки зрения содержания является включение следующих разделов: "Обучение композиционной деятельности", "Развитие у учащихся умений воспринимать и изображать форму предметов, пропорции, конструкцию", "Развитие у учащихся восприятия цвета предметов и формирование умений передавать его в живописи", "Обучение восприятию произведений искусства".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:rsidR="00CC45B7" w:rsidRPr="00927888" w:rsidRDefault="00CC45B7" w:rsidP="00CC45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CD420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CD42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плану предусмотрено 17 часов</w:t>
      </w:r>
      <w:r w:rsidRPr="002B0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две недели </w:t>
      </w:r>
      <w:r w:rsidRPr="00CC45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B7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proofErr w:type="gramEnd"/>
      <w:r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ррр</w:t>
      </w:r>
      <w:proofErr w:type="spellEnd"/>
    </w:p>
    <w:p w:rsidR="00CC45B7" w:rsidRPr="000E20C1" w:rsidRDefault="00CC45B7" w:rsidP="00CC45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0C1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0E20C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0E20C1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0E20C1">
        <w:rPr>
          <w:rFonts w:ascii="Times New Roman" w:hAnsi="Times New Roman" w:cs="Times New Roman"/>
          <w:b/>
          <w:sz w:val="24"/>
          <w:szCs w:val="24"/>
        </w:rPr>
        <w:t>:</w:t>
      </w:r>
    </w:p>
    <w:p w:rsidR="00CC45B7" w:rsidRPr="00CC45B7" w:rsidRDefault="00CC45B7" w:rsidP="00CC45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E51020">
        <w:rPr>
          <w:rFonts w:ascii="Times New Roman" w:hAnsi="Times New Roman" w:cs="Times New Roman"/>
          <w:sz w:val="24"/>
          <w:szCs w:val="24"/>
        </w:rPr>
        <w:t>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51020">
        <w:rPr>
          <w:rFonts w:ascii="Times New Roman" w:hAnsi="Times New Roman" w:cs="Times New Roman"/>
          <w:sz w:val="24"/>
          <w:szCs w:val="24"/>
        </w:rPr>
        <w:t xml:space="preserve">анимается 1 ученик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20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E5102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>По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заключению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ПМПК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выявлены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следующие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: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синдром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гиперакт</w:t>
      </w:r>
      <w:r w:rsidRPr="00484F9C">
        <w:rPr>
          <w:rFonts w:ascii="Times New Roman" w:hAnsi="Times New Roman" w:cs="Times New Roman"/>
          <w:sz w:val="24"/>
          <w:szCs w:val="24"/>
        </w:rPr>
        <w:t>ивности,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дислалия,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системное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недоразвитие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речи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при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</w:t>
      </w:r>
      <w:r w:rsidRPr="00484F9C">
        <w:rPr>
          <w:rFonts w:ascii="Times New Roman" w:hAnsi="Times New Roman" w:cs="Times New Roman"/>
          <w:sz w:val="24"/>
          <w:szCs w:val="24"/>
        </w:rPr>
        <w:t>мма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составлена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учётом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особенностей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</w:t>
      </w:r>
      <w:proofErr w:type="spellEnd"/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рисков: </w:t>
      </w:r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случае карантина, актированных дней возможно внесение изменений в график годового </w:t>
      </w:r>
      <w:r w:rsidRPr="00484F9C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календарного учебного года по продлению учебного года, либо перенос каникулярных периодов в другое время.</w:t>
      </w:r>
    </w:p>
    <w:p w:rsidR="008A6474" w:rsidRPr="00FC61A9" w:rsidRDefault="00FC61A9" w:rsidP="00FC61A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8A6474"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курса «Изобразительное искусство»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одной из основных задач коррекционная (специальная) школа VIII 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8A6474" w:rsidRPr="00FC61A9" w:rsidRDefault="008A6474" w:rsidP="00FC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 целом определяет оптимальный объем знаний и умений по изобразительному искусству,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предметного содержания курса изобразительного искусства у учащихся предполагается </w:t>
      </w: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универсальных учебных действий 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(личностных, познавательных, регулятивных, коммуникативных),</w:t>
      </w: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позволяющих достигать </w:t>
      </w: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регулятивных, познавательных, коммуникативных и предметных 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результатов.</w:t>
      </w:r>
    </w:p>
    <w:p w:rsidR="008A6474" w:rsidRPr="00FC61A9" w:rsidRDefault="008A6474" w:rsidP="00FC6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первый план при изучении курса изобразительного искусства выносится задача совершенствования познавательной, эмоционально-волевой и двигательной сферы учащихся.</w:t>
      </w:r>
    </w:p>
    <w:p w:rsidR="008A6474" w:rsidRPr="00FC61A9" w:rsidRDefault="008A6474" w:rsidP="00FC61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 изучения курса являются:</w:t>
      </w:r>
    </w:p>
    <w:p w:rsidR="008A6474" w:rsidRPr="00FC61A9" w:rsidRDefault="008A6474" w:rsidP="00FC61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8A6474" w:rsidRPr="00FC61A9" w:rsidRDefault="008A6474" w:rsidP="00FC61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Гармонизация интеллектуального и эмоционального развития;</w:t>
      </w:r>
    </w:p>
    <w:p w:rsidR="008A6474" w:rsidRPr="00FC61A9" w:rsidRDefault="008A6474" w:rsidP="00FC61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мировоззрения, целостного представления о мире, о формах искусства</w:t>
      </w:r>
    </w:p>
    <w:p w:rsidR="008A6474" w:rsidRPr="00FC61A9" w:rsidRDefault="008A6474" w:rsidP="00FC61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8A6474" w:rsidRPr="00FC61A9" w:rsidRDefault="008A6474" w:rsidP="00FC61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готовности к труду, навыков самостоятельной работы</w:t>
      </w:r>
    </w:p>
    <w:p w:rsidR="008A6474" w:rsidRPr="00FC61A9" w:rsidRDefault="008A6474" w:rsidP="00FC61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познавать мир через образы и формы изобразительного искусства</w:t>
      </w:r>
    </w:p>
    <w:p w:rsidR="008A6474" w:rsidRPr="00FC61A9" w:rsidRDefault="008A6474" w:rsidP="00FC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C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изучения изобразительного искусства проявляются:</w:t>
      </w:r>
    </w:p>
    <w:p w:rsidR="008A6474" w:rsidRPr="00FC61A9" w:rsidRDefault="008A6474" w:rsidP="00FC61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8A6474" w:rsidRPr="00FC61A9" w:rsidRDefault="008A6474" w:rsidP="00FC61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зрительной памяти, фантазии, воображения, художественной интуиции</w:t>
      </w:r>
      <w:proofErr w:type="gram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,;</w:t>
      </w:r>
      <w:proofErr w:type="gramEnd"/>
    </w:p>
    <w:p w:rsidR="008A6474" w:rsidRPr="00FC61A9" w:rsidRDefault="008A6474" w:rsidP="00FC61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8A6474" w:rsidRDefault="008A6474" w:rsidP="00FC61A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CC45B7" w:rsidRDefault="00CC45B7" w:rsidP="00CC45B7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5B7" w:rsidRPr="00FC61A9" w:rsidRDefault="00CC45B7" w:rsidP="00CC45B7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74" w:rsidRPr="00CC45B7" w:rsidRDefault="008A6474" w:rsidP="00CC45B7">
      <w:pPr>
        <w:pStyle w:val="a4"/>
        <w:numPr>
          <w:ilvl w:val="0"/>
          <w:numId w:val="15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«Изобразительное искусство</w:t>
      </w:r>
      <w:r w:rsidRPr="00CC45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8A6474" w:rsidRPr="00FC61A9" w:rsidRDefault="008A6474" w:rsidP="008B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</w:t>
      </w:r>
      <w:r w:rsidR="008B33D2"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ренцированного подхода на уроках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формы работы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урок, фронтальная работа, индивидуальная работа, работа в парах и группах, коллективная работа.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словесные, наглядные, практические.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задач, поставленных программой, предусмотрены четыре вида занятий: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рисование с натуры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декоративное рисование;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 рисование на тему;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 об изобразительном искусстве.</w:t>
      </w:r>
    </w:p>
    <w:p w:rsidR="008A6474" w:rsidRPr="00FC61A9" w:rsidRDefault="008A6474" w:rsidP="00CC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ЗНАНИЙ, УМЕНИЙ, НАВЫКОВ УЧАЩИХСЯ ПО ИЗОБРАЗИТЕЛЬНОМУ ИСКУССТВУ</w:t>
      </w:r>
    </w:p>
    <w:p w:rsidR="008A6474" w:rsidRPr="00FC61A9" w:rsidRDefault="008A6474" w:rsidP="008B33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"5" </w:t>
      </w:r>
    </w:p>
    <w:p w:rsidR="008A6474" w:rsidRPr="00FC61A9" w:rsidRDefault="008A6474" w:rsidP="008B33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  полностью справляется с поставленной целью урока;</w:t>
      </w:r>
    </w:p>
    <w:p w:rsidR="008A6474" w:rsidRPr="00FC61A9" w:rsidRDefault="008A6474" w:rsidP="008B33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излагает изученный материал и умеет применить полученные  знания на практике;</w:t>
      </w:r>
    </w:p>
    <w:p w:rsidR="008A6474" w:rsidRPr="00FC61A9" w:rsidRDefault="008A6474" w:rsidP="008B33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8A6474" w:rsidRPr="00FC61A9" w:rsidRDefault="008A6474" w:rsidP="008B33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"4" </w:t>
      </w:r>
    </w:p>
    <w:p w:rsidR="008A6474" w:rsidRPr="00FC61A9" w:rsidRDefault="008A6474" w:rsidP="008B33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8A6474" w:rsidRPr="00FC61A9" w:rsidRDefault="008A6474" w:rsidP="008B33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8A6474" w:rsidRPr="00FC61A9" w:rsidRDefault="008A6474" w:rsidP="008B33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подметить, но не совсем точно передаёт в изображении наиболее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"3"</w:t>
      </w:r>
    </w:p>
    <w:p w:rsidR="008A6474" w:rsidRPr="00FC61A9" w:rsidRDefault="008A6474" w:rsidP="008B33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слабо справляется с поставленной целью урока;</w:t>
      </w:r>
    </w:p>
    <w:p w:rsidR="008A6474" w:rsidRPr="00FC61A9" w:rsidRDefault="008A6474" w:rsidP="008B33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"2" </w:t>
      </w:r>
    </w:p>
    <w:p w:rsidR="008A6474" w:rsidRPr="00FC61A9" w:rsidRDefault="008A6474" w:rsidP="008B33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допускает грубые ошибки в ответе;</w:t>
      </w:r>
    </w:p>
    <w:p w:rsidR="008A6474" w:rsidRPr="00FC61A9" w:rsidRDefault="008A6474" w:rsidP="008B33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"1"</w:t>
      </w:r>
    </w:p>
    <w:p w:rsidR="008A6474" w:rsidRPr="00FC61A9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Отменяется оценка «1». Это связано с тем, что единица как оценка в         начальной школе практически не используется и оценка «1» может быть приравнена к оценке «2».</w:t>
      </w:r>
    </w:p>
    <w:p w:rsidR="008A6474" w:rsidRPr="00FC61A9" w:rsidRDefault="008A6474" w:rsidP="00FC61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обучающихся</w:t>
      </w:r>
      <w:proofErr w:type="gramEnd"/>
    </w:p>
    <w:p w:rsidR="008A6474" w:rsidRPr="00FC61A9" w:rsidRDefault="008A6474" w:rsidP="00FC61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правильно определять величину изображения в зависимости от размера листа бумаги;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передавать в рисунке форму прямоугольных, цилиндрических, конических предметов в несложном пространственном положении;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использовать осевые линии при построении рисунка симметричной формы;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передавать объемную форму предметов элементарной светотенью, пользуясь различной штриховкой (косой, по форме);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подбирать и передавать в рисунке цвета изображаемых предметов (цветной карандаш, гуашь);</w:t>
      </w:r>
      <w:proofErr w:type="gramEnd"/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пользоваться гуашевыми красками при рисовании орнаментов (узоров);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анализировать свой рисунок и рисунок товарища (по отдельным вопросам учителя);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употреблять в речи слова, обозначающие пространственные признаки и пространственные отношения предметов;</w:t>
      </w:r>
      <w:r w:rsidRPr="00FC6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рассказывать о содержании и особенностях рассматриваемого произведения изобразительного искусства.</w:t>
      </w:r>
    </w:p>
    <w:p w:rsidR="008A6474" w:rsidRPr="00FC61A9" w:rsidRDefault="008A6474" w:rsidP="008B33D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</w:t>
      </w:r>
      <w:proofErr w:type="spellEnd"/>
      <w:r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тематический план:</w:t>
      </w:r>
    </w:p>
    <w:tbl>
      <w:tblPr>
        <w:tblW w:w="904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34"/>
        <w:gridCol w:w="5858"/>
        <w:gridCol w:w="2554"/>
      </w:tblGrid>
      <w:tr w:rsidR="008A6474" w:rsidRPr="00FC61A9" w:rsidTr="008A6474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8A647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A6474" w:rsidRPr="00FC61A9" w:rsidRDefault="008A647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/п.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8A647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раздел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8A647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A6474" w:rsidRPr="00FC61A9" w:rsidTr="008A6474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8A6474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8A6474" w:rsidRPr="00FC61A9" w:rsidRDefault="008A6474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8A6474" w:rsidRPr="00FC61A9" w:rsidRDefault="008A6474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A6474" w:rsidRPr="00FC61A9" w:rsidRDefault="008A6474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рисование.</w:t>
            </w:r>
          </w:p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натуры.</w:t>
            </w:r>
          </w:p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темы.</w:t>
            </w:r>
          </w:p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об искусстве.</w:t>
            </w:r>
          </w:p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74" w:rsidRPr="00FC61A9" w:rsidRDefault="00CC45B7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8A6474"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8A6474" w:rsidRPr="00FC61A9" w:rsidRDefault="00CC45B7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A6474"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8A6474" w:rsidRPr="00FC61A9" w:rsidRDefault="00CC45B7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6474"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8A6474" w:rsidRPr="00FC61A9" w:rsidRDefault="00CC45B7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6474"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8A6474" w:rsidRPr="00FC61A9" w:rsidRDefault="002F30AA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8A6474" w:rsidRPr="00FC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  <w:p w:rsidR="008A6474" w:rsidRPr="00FC61A9" w:rsidRDefault="008A6474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474" w:rsidRDefault="008A6474" w:rsidP="008B3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74" w:rsidRPr="00CC45B7" w:rsidRDefault="00CC45B7" w:rsidP="00CC45B7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8A6474" w:rsidRPr="00CC4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планирование по изобразительному искусству</w:t>
      </w:r>
    </w:p>
    <w:tbl>
      <w:tblPr>
        <w:tblW w:w="959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2"/>
        <w:gridCol w:w="1926"/>
        <w:gridCol w:w="846"/>
        <w:gridCol w:w="1013"/>
        <w:gridCol w:w="1113"/>
        <w:gridCol w:w="2243"/>
        <w:gridCol w:w="1988"/>
      </w:tblGrid>
      <w:tr w:rsidR="008B33D2" w:rsidRPr="00FC61A9" w:rsidTr="008B33D2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8B33D2" w:rsidRDefault="008B33D2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Default="008B33D2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8B33D2" w:rsidRPr="008B33D2" w:rsidRDefault="008B33D2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33D2" w:rsidRPr="008B33D2" w:rsidRDefault="008B33D2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33D2" w:rsidRPr="008B33D2" w:rsidRDefault="008B33D2" w:rsidP="008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Обязательный минимум знать/уметь</w:t>
            </w:r>
          </w:p>
        </w:tc>
      </w:tr>
      <w:tr w:rsidR="008B33D2" w:rsidRPr="00FC61A9" w:rsidTr="008B33D2"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8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овощей и фруктов в виде набросков (4—6 на листе бумаги); Т.С.О.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объект изображения (определять форму, цвет и величину). Самостоятельное размещение изображаемого предмета; рисование с натуры в виде набросков.</w:t>
            </w:r>
          </w:p>
        </w:tc>
        <w:tc>
          <w:tcPr>
            <w:tcW w:w="1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определять величину изображения по отношению к листу бумаги.</w:t>
            </w:r>
          </w:p>
        </w:tc>
      </w:tr>
      <w:tr w:rsidR="008B33D2" w:rsidRPr="00FC61A9" w:rsidTr="002F30AA">
        <w:trPr>
          <w:trHeight w:val="1850"/>
        </w:trPr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B33D2" w:rsidRPr="00FC61A9" w:rsidRDefault="008B33D2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листа дерева по выбору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(раздаточный материал). Т.С.О.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33D2" w:rsidRPr="00FC61A9" w:rsidRDefault="008B33D2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B33D2" w:rsidRPr="00FC61A9" w:rsidRDefault="008B33D2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B33D2" w:rsidRPr="00FC61A9" w:rsidRDefault="008B33D2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3D2" w:rsidRPr="00FC61A9" w:rsidTr="008B33D2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ветки рябины. Т.С.О.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 плоских предметов симметричной формы; применять среднюю осевую линию; развивать умение определять последовательность выполнения рисунка.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компоновать изображаемые предметы в формате листа (</w:t>
            </w:r>
            <w:proofErr w:type="spellStart"/>
            <w:proofErr w:type="gramStart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ориентировать-ся</w:t>
            </w:r>
            <w:proofErr w:type="spellEnd"/>
            <w:proofErr w:type="gramEnd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плоскости листа бумаги, правильно распределять величину изображения в зависимости от размера листа 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бумаги).</w:t>
            </w:r>
          </w:p>
        </w:tc>
      </w:tr>
      <w:tr w:rsidR="008B33D2" w:rsidRPr="00FC61A9" w:rsidTr="008B33D2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узора в квадрате из растительных форм.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образец, определять структуру узора (повторение и чередование элементов), форму и цвет составных частей.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3D2" w:rsidRPr="00FC61A9" w:rsidRDefault="008B33D2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осевые линии при рисовании орнамента в квадрате. Определять структуру узора (повторение, чередование элементов).</w:t>
            </w:r>
          </w:p>
        </w:tc>
      </w:tr>
    </w:tbl>
    <w:p w:rsidR="008A6474" w:rsidRPr="00FC61A9" w:rsidRDefault="002F30AA" w:rsidP="002F30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четверть. 4 </w:t>
      </w:r>
      <w:r w:rsidR="008A6474"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tbl>
      <w:tblPr>
        <w:tblW w:w="961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7"/>
        <w:gridCol w:w="1966"/>
        <w:gridCol w:w="851"/>
        <w:gridCol w:w="992"/>
        <w:gridCol w:w="1134"/>
        <w:gridCol w:w="2268"/>
        <w:gridCol w:w="1985"/>
      </w:tblGrid>
      <w:tr w:rsidR="00922705" w:rsidRPr="00FC61A9" w:rsidTr="002F30AA"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«Золотая хохлома». Демонстрация изделий народного промысла (посуда).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Т.С.О.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изделия народного промысла (посуда).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промысла.</w:t>
            </w:r>
          </w:p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рисовать узоры из растительных элементов; пользоваться акварельными и гуашевыми красками.</w:t>
            </w:r>
          </w:p>
        </w:tc>
      </w:tr>
      <w:tr w:rsidR="00922705" w:rsidRPr="00FC61A9" w:rsidTr="002F30AA"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игрушка.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размещение изображения; развивать умение определять последовательность выполнения рисунка.</w:t>
            </w:r>
          </w:p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компоновать изображаемые предметы в формате листа; правильно распределять величину изображения; передавать характерные особенности предмета.</w:t>
            </w:r>
          </w:p>
        </w:tc>
      </w:tr>
      <w:tr w:rsidR="00922705" w:rsidRPr="00FC61A9" w:rsidTr="002F30AA"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игрушки-грузовика (фургона).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705" w:rsidRPr="00FC61A9" w:rsidTr="002F30AA"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образца геометрического орнамента в квадрате.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узора и закрепление технических навыков. Развивать способность анализировать образец. Определять структуру узора (повторение и чередование элементов).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и называть цвета и их оттенки; использовать осевые линии при рисовании орнамента в квадрате.</w:t>
            </w:r>
          </w:p>
        </w:tc>
      </w:tr>
    </w:tbl>
    <w:p w:rsidR="008A6474" w:rsidRPr="00FC61A9" w:rsidRDefault="002F30AA" w:rsidP="002F30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 четверть. 5</w:t>
      </w:r>
      <w:r w:rsidR="008A6474"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tbl>
      <w:tblPr>
        <w:tblW w:w="961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0"/>
        <w:gridCol w:w="2145"/>
        <w:gridCol w:w="454"/>
        <w:gridCol w:w="934"/>
        <w:gridCol w:w="1091"/>
        <w:gridCol w:w="2311"/>
        <w:gridCol w:w="2268"/>
      </w:tblGrid>
      <w:tr w:rsidR="00922705" w:rsidRPr="00FC61A9" w:rsidTr="002F30AA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Декоративное рисование панно «Снежинки». Т.С.О.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несложного узора из снежинок. Анализировать образец. Использовать осевые линии при построении рисунка симметричной формы.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пользоваться гуашевыми красками при рисовании орнамента (узоров), равномерно размещать узор в пределах контурного изображения.</w:t>
            </w:r>
          </w:p>
        </w:tc>
      </w:tr>
      <w:tr w:rsidR="00922705" w:rsidRPr="00FC61A9" w:rsidTr="002F30AA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F3586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предмета симметричной формы (вымпел с изображением ракеты).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выполнения рисунка; передавать характерные особенности предмета.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компоновать изображаемые предметы в формате листа; правильно распределять величину изображения на листе бумаги.</w:t>
            </w:r>
          </w:p>
        </w:tc>
      </w:tr>
      <w:tr w:rsidR="00922705" w:rsidRPr="00FC61A9" w:rsidTr="002F30AA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F3586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раскладной пирамидки.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несложных по форме предметов. Определять последовательность выполнения рисунка. Изображать от руки предмет, передавая его характерные особенности</w:t>
            </w:r>
            <w:proofErr w:type="gramStart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атура – раздаточный материал).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видеть и передавать сходство и различия в форме однородных предметов. Ориентироваться на плоскости листа бумаги. Уметь передавать в рисунке цилиндрического предмета в несложном пространственном положении; передавать объёмную форму предмета элементарной светотенью.</w:t>
            </w:r>
          </w:p>
        </w:tc>
      </w:tr>
      <w:tr w:rsidR="00922705" w:rsidRPr="00FC61A9" w:rsidTr="002F30AA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F3586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бумажного стаканчика (натура — раздаточный материал).</w:t>
            </w:r>
          </w:p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705" w:rsidRPr="00FC61A9" w:rsidTr="002F30AA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F35864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рисование листка отрывного календаря к празднику 8 Марта. Т.С.О.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6F7468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рисование. Эстетичное оформление в виде открытки.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05" w:rsidRPr="00FC61A9" w:rsidRDefault="00922705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правильно располагать элементы оформления по всему листу бумаги. Развивать способность 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образец.</w:t>
            </w:r>
          </w:p>
        </w:tc>
      </w:tr>
    </w:tbl>
    <w:p w:rsidR="008A6474" w:rsidRPr="00FC61A9" w:rsidRDefault="002F30AA" w:rsidP="002F30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 четверть. 4</w:t>
      </w:r>
      <w:r w:rsidR="008A6474" w:rsidRPr="00FC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tbl>
      <w:tblPr>
        <w:tblW w:w="95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1"/>
        <w:gridCol w:w="1954"/>
        <w:gridCol w:w="458"/>
        <w:gridCol w:w="836"/>
        <w:gridCol w:w="1396"/>
        <w:gridCol w:w="2284"/>
        <w:gridCol w:w="2192"/>
      </w:tblGrid>
      <w:tr w:rsidR="002F30AA" w:rsidRPr="00FC61A9" w:rsidTr="002F30AA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Декоративное рисование расписного блюда (узор из ягод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листьев)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Т.С.О.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6F7468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0AA" w:rsidRPr="00FC61A9" w:rsidRDefault="002F30AA" w:rsidP="002F30AA">
            <w:pPr>
              <w:spacing w:after="12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правильной композиции, приёму расположения листа бумаги; самостоятельно размещать изображение отдельно взятого предмета посередине листа.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последовательно</w:t>
            </w:r>
          </w:p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рисунок; делить круг на 2, 4 равные части, на глаз, использовать осевую линию.</w:t>
            </w:r>
          </w:p>
        </w:tc>
      </w:tr>
      <w:tr w:rsidR="002F30AA" w:rsidRPr="00FC61A9" w:rsidTr="002F30AA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«Космические корабли в полете».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6F7468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0AA" w:rsidRPr="00FC61A9" w:rsidRDefault="002F30AA" w:rsidP="002F30AA">
            <w:pPr>
              <w:spacing w:after="12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Соединять в рисунке несколько предметов, объединять их общим содержанием.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весь лист бумаги, соблюдая верх, низ рисунка, использовать различные техники для передачи настроения в работе.</w:t>
            </w:r>
          </w:p>
        </w:tc>
      </w:tr>
      <w:tr w:rsidR="002F30AA" w:rsidRPr="00FC61A9" w:rsidTr="002F30AA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2F30A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предметов конструктивной формы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 — настольные, настенные</w:t>
            </w: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6F7468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0AA" w:rsidRPr="00FC61A9" w:rsidRDefault="002F30AA" w:rsidP="002F30AA">
            <w:pPr>
              <w:spacing w:after="12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предмета округлой формы, передавая их характерные особенности.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 помощью учителя строение предмета.</w:t>
            </w:r>
          </w:p>
        </w:tc>
      </w:tr>
      <w:tr w:rsidR="002F30AA" w:rsidRPr="00FC61A9" w:rsidTr="002F30AA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квадрате узора из декоративно переработанных природных форм (например, цветы и бабочки).    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6F7468" w:rsidP="00FC61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0AA" w:rsidRPr="00FC61A9" w:rsidRDefault="002F30AA" w:rsidP="002F30AA">
            <w:pPr>
              <w:spacing w:after="12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предметов симметричной формы. Вести работу от общего к частному. Составление узора из переработанных природных форм.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0AA" w:rsidRPr="00FC61A9" w:rsidRDefault="002F30AA" w:rsidP="00FC61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правильно располагать лист бумаги (по вертикали и горизонтали) в зависимости от пространственного расположения изображаемого; использовать </w:t>
            </w:r>
            <w:proofErr w:type="gramStart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осевую</w:t>
            </w:r>
            <w:proofErr w:type="gramEnd"/>
            <w:r w:rsidRPr="00FC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вспомогательные линии.</w:t>
            </w:r>
          </w:p>
        </w:tc>
      </w:tr>
    </w:tbl>
    <w:p w:rsidR="00067118" w:rsidRPr="00CC45B7" w:rsidRDefault="00067118" w:rsidP="00CC45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7118" w:rsidRPr="00CC45B7" w:rsidSect="00BF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B053B"/>
    <w:multiLevelType w:val="multilevel"/>
    <w:tmpl w:val="751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734AC"/>
    <w:multiLevelType w:val="multilevel"/>
    <w:tmpl w:val="C63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00724"/>
    <w:multiLevelType w:val="multilevel"/>
    <w:tmpl w:val="65A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3158A"/>
    <w:multiLevelType w:val="multilevel"/>
    <w:tmpl w:val="12B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264BD"/>
    <w:multiLevelType w:val="multilevel"/>
    <w:tmpl w:val="C350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E5E33"/>
    <w:multiLevelType w:val="multilevel"/>
    <w:tmpl w:val="0B6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77C90"/>
    <w:multiLevelType w:val="multilevel"/>
    <w:tmpl w:val="0DF4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D7D19"/>
    <w:multiLevelType w:val="multilevel"/>
    <w:tmpl w:val="D97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902EA"/>
    <w:multiLevelType w:val="multilevel"/>
    <w:tmpl w:val="D88A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D368D"/>
    <w:multiLevelType w:val="multilevel"/>
    <w:tmpl w:val="19948C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31D64"/>
    <w:multiLevelType w:val="multilevel"/>
    <w:tmpl w:val="823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C00FA"/>
    <w:multiLevelType w:val="multilevel"/>
    <w:tmpl w:val="6EC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B5BFE"/>
    <w:multiLevelType w:val="multilevel"/>
    <w:tmpl w:val="D04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D059D"/>
    <w:multiLevelType w:val="multilevel"/>
    <w:tmpl w:val="182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474"/>
    <w:rsid w:val="00067118"/>
    <w:rsid w:val="00130F4B"/>
    <w:rsid w:val="00175C95"/>
    <w:rsid w:val="001A0F18"/>
    <w:rsid w:val="00285BBE"/>
    <w:rsid w:val="002F30AA"/>
    <w:rsid w:val="00374DD8"/>
    <w:rsid w:val="004B668B"/>
    <w:rsid w:val="006F7468"/>
    <w:rsid w:val="008A6474"/>
    <w:rsid w:val="008B33D2"/>
    <w:rsid w:val="00922705"/>
    <w:rsid w:val="00BC7715"/>
    <w:rsid w:val="00BF117E"/>
    <w:rsid w:val="00CC45B7"/>
    <w:rsid w:val="00DD20A6"/>
    <w:rsid w:val="00F35864"/>
    <w:rsid w:val="00FC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6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дир по ВР</cp:lastModifiedBy>
  <cp:revision>10</cp:revision>
  <cp:lastPrinted>2020-12-01T13:47:00Z</cp:lastPrinted>
  <dcterms:created xsi:type="dcterms:W3CDTF">2020-10-22T07:37:00Z</dcterms:created>
  <dcterms:modified xsi:type="dcterms:W3CDTF">2021-03-22T15:16:00Z</dcterms:modified>
</cp:coreProperties>
</file>